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65" w:rsidRPr="00F91765" w:rsidRDefault="00F91765" w:rsidP="00F91765">
      <w:pPr>
        <w:spacing w:before="100" w:beforeAutospacing="1" w:after="100" w:afterAutospacing="1"/>
        <w:rPr>
          <w:rFonts w:eastAsia="Times New Roman"/>
          <w:sz w:val="28"/>
          <w:szCs w:val="28"/>
        </w:rPr>
      </w:pPr>
    </w:p>
    <w:p w:rsidR="00F91765" w:rsidRPr="00F91765" w:rsidRDefault="00F91765" w:rsidP="00F91765">
      <w:pPr>
        <w:overflowPunct w:val="0"/>
        <w:autoSpaceDE w:val="0"/>
        <w:autoSpaceDN w:val="0"/>
        <w:adjustRightInd w:val="0"/>
        <w:ind w:left="4950" w:hanging="4950"/>
        <w:rPr>
          <w:rFonts w:eastAsia="Times New Roman"/>
          <w:sz w:val="28"/>
          <w:szCs w:val="28"/>
        </w:rPr>
      </w:pPr>
      <w:r w:rsidRPr="00F91765">
        <w:rPr>
          <w:rFonts w:eastAsia="Times New Roman"/>
          <w:sz w:val="28"/>
          <w:szCs w:val="28"/>
          <w:lang w:val="ru-RU"/>
        </w:rPr>
        <w:tab/>
      </w:r>
      <w:r w:rsidRPr="00F91765">
        <w:rPr>
          <w:rFonts w:eastAsia="Times New Roman"/>
          <w:sz w:val="28"/>
          <w:szCs w:val="28"/>
        </w:rPr>
        <w:tab/>
      </w:r>
    </w:p>
    <w:p w:rsidR="00F91765" w:rsidRPr="00F91765" w:rsidRDefault="00F91765" w:rsidP="00F91765">
      <w:pPr>
        <w:overflowPunct w:val="0"/>
        <w:autoSpaceDE w:val="0"/>
        <w:autoSpaceDN w:val="0"/>
        <w:adjustRightInd w:val="0"/>
        <w:ind w:left="4950" w:hanging="4950"/>
        <w:rPr>
          <w:rFonts w:eastAsia="Times New Roman"/>
          <w:b/>
          <w:bCs/>
          <w:sz w:val="28"/>
          <w:szCs w:val="28"/>
        </w:rPr>
      </w:pPr>
      <w:r w:rsidRPr="00F91765">
        <w:rPr>
          <w:rFonts w:eastAsia="Times New Roman"/>
          <w:b/>
          <w:bCs/>
          <w:sz w:val="28"/>
          <w:szCs w:val="28"/>
        </w:rPr>
        <w:t xml:space="preserve">                                         </w:t>
      </w:r>
    </w:p>
    <w:p w:rsidR="00F91765" w:rsidRPr="00F91765" w:rsidRDefault="00F91765" w:rsidP="00F91765">
      <w:pPr>
        <w:overflowPunct w:val="0"/>
        <w:autoSpaceDE w:val="0"/>
        <w:autoSpaceDN w:val="0"/>
        <w:adjustRightInd w:val="0"/>
        <w:ind w:left="4950" w:hanging="4950"/>
        <w:rPr>
          <w:rFonts w:eastAsia="Times New Roman"/>
          <w:sz w:val="28"/>
          <w:szCs w:val="28"/>
        </w:rPr>
      </w:pPr>
      <w:r w:rsidRPr="00F91765">
        <w:rPr>
          <w:rFonts w:eastAsia="Times New Roman"/>
          <w:b/>
          <w:bCs/>
          <w:sz w:val="28"/>
          <w:szCs w:val="28"/>
        </w:rPr>
        <w:t xml:space="preserve">                                                              УКРАЇНА</w:t>
      </w:r>
    </w:p>
    <w:p w:rsidR="00F91765" w:rsidRPr="00F91765" w:rsidRDefault="00F91765" w:rsidP="00F91765">
      <w:pPr>
        <w:jc w:val="center"/>
        <w:rPr>
          <w:rFonts w:eastAsia="Times New Roman"/>
          <w:b/>
          <w:bCs/>
          <w:sz w:val="28"/>
          <w:szCs w:val="28"/>
        </w:rPr>
      </w:pPr>
      <w:r w:rsidRPr="00F91765">
        <w:rPr>
          <w:rFonts w:eastAsia="Times New Roman"/>
          <w:b/>
          <w:bCs/>
          <w:sz w:val="28"/>
          <w:szCs w:val="28"/>
        </w:rPr>
        <w:t>ВИСОЦЬКА СІЛЬСЬКА РАДА</w:t>
      </w:r>
    </w:p>
    <w:p w:rsidR="00F91765" w:rsidRPr="00F91765" w:rsidRDefault="00F91765" w:rsidP="00F91765">
      <w:pPr>
        <w:jc w:val="center"/>
        <w:rPr>
          <w:rFonts w:eastAsia="Times New Roman"/>
          <w:b/>
          <w:bCs/>
          <w:sz w:val="28"/>
          <w:szCs w:val="28"/>
        </w:rPr>
      </w:pPr>
      <w:proofErr w:type="spellStart"/>
      <w:r w:rsidRPr="00F91765">
        <w:rPr>
          <w:rFonts w:eastAsia="Times New Roman"/>
          <w:b/>
          <w:bCs/>
          <w:sz w:val="28"/>
          <w:szCs w:val="28"/>
        </w:rPr>
        <w:t>Дубровицького</w:t>
      </w:r>
      <w:proofErr w:type="spellEnd"/>
      <w:r w:rsidRPr="00F91765">
        <w:rPr>
          <w:rFonts w:eastAsia="Times New Roman"/>
          <w:b/>
          <w:bCs/>
          <w:sz w:val="28"/>
          <w:szCs w:val="28"/>
        </w:rPr>
        <w:t xml:space="preserve"> району</w:t>
      </w:r>
    </w:p>
    <w:p w:rsidR="00F91765" w:rsidRPr="00F91765" w:rsidRDefault="00F91765" w:rsidP="00F91765">
      <w:pPr>
        <w:jc w:val="center"/>
        <w:rPr>
          <w:rFonts w:eastAsia="Times New Roman"/>
          <w:b/>
          <w:bCs/>
          <w:sz w:val="28"/>
          <w:szCs w:val="28"/>
        </w:rPr>
      </w:pPr>
      <w:r w:rsidRPr="00F91765">
        <w:rPr>
          <w:rFonts w:eastAsia="Times New Roman"/>
          <w:b/>
          <w:bCs/>
          <w:sz w:val="28"/>
          <w:szCs w:val="28"/>
        </w:rPr>
        <w:t>Рівненської області</w:t>
      </w:r>
    </w:p>
    <w:p w:rsidR="00F91765" w:rsidRPr="00F91765" w:rsidRDefault="00F91765" w:rsidP="00F91765">
      <w:pPr>
        <w:jc w:val="center"/>
        <w:rPr>
          <w:rFonts w:eastAsia="Times New Roman"/>
          <w:b/>
          <w:bCs/>
          <w:sz w:val="28"/>
          <w:szCs w:val="28"/>
        </w:rPr>
      </w:pPr>
    </w:p>
    <w:p w:rsidR="00F91765" w:rsidRPr="00F91765" w:rsidRDefault="00F91765" w:rsidP="00F91765">
      <w:pPr>
        <w:spacing w:after="200"/>
        <w:jc w:val="center"/>
        <w:rPr>
          <w:rFonts w:eastAsia="Times New Roman"/>
          <w:b/>
          <w:bCs/>
          <w:sz w:val="28"/>
          <w:szCs w:val="28"/>
        </w:rPr>
      </w:pPr>
      <w:r w:rsidRPr="00F91765">
        <w:rPr>
          <w:rFonts w:eastAsia="Times New Roman"/>
          <w:b/>
          <w:bCs/>
          <w:sz w:val="28"/>
          <w:szCs w:val="28"/>
        </w:rPr>
        <w:t>РІШЕННЯ</w:t>
      </w:r>
    </w:p>
    <w:p w:rsidR="00F91765" w:rsidRPr="00F91765" w:rsidRDefault="00F91765" w:rsidP="00F91765">
      <w:pPr>
        <w:spacing w:after="200"/>
        <w:rPr>
          <w:rFonts w:eastAsia="Times New Roman"/>
          <w:sz w:val="28"/>
          <w:szCs w:val="28"/>
        </w:rPr>
      </w:pPr>
      <w:r w:rsidRPr="00F91765">
        <w:rPr>
          <w:rFonts w:eastAsia="Times New Roman"/>
          <w:sz w:val="28"/>
          <w:szCs w:val="28"/>
        </w:rPr>
        <w:t>від  31 березня   2017 року                                                               № 122</w:t>
      </w:r>
    </w:p>
    <w:p w:rsidR="00F91765" w:rsidRPr="00F91765" w:rsidRDefault="00F91765" w:rsidP="00F91765">
      <w:pPr>
        <w:spacing w:after="200"/>
        <w:rPr>
          <w:rFonts w:eastAsia="Times New Roman"/>
          <w:sz w:val="28"/>
          <w:szCs w:val="28"/>
        </w:rPr>
      </w:pP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r w:rsidRPr="00F91765">
        <w:rPr>
          <w:rFonts w:eastAsia="Times New Roman"/>
          <w:color w:val="000000"/>
          <w:spacing w:val="-3"/>
          <w:sz w:val="28"/>
          <w:szCs w:val="28"/>
        </w:rPr>
        <w:t>Про затвердження Програми сприяння</w:t>
      </w: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r w:rsidRPr="00F91765">
        <w:rPr>
          <w:rFonts w:eastAsia="Times New Roman"/>
          <w:color w:val="000000"/>
          <w:spacing w:val="-3"/>
          <w:sz w:val="28"/>
          <w:szCs w:val="28"/>
        </w:rPr>
        <w:t>розвитку громадянського суспільства</w:t>
      </w: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r w:rsidRPr="00F91765">
        <w:rPr>
          <w:rFonts w:eastAsia="Times New Roman"/>
          <w:color w:val="000000"/>
          <w:spacing w:val="-3"/>
          <w:sz w:val="28"/>
          <w:szCs w:val="28"/>
        </w:rPr>
        <w:t xml:space="preserve">на території ради на 2017 -2021 роки </w:t>
      </w:r>
    </w:p>
    <w:p w:rsidR="00F91765" w:rsidRPr="00F91765" w:rsidRDefault="00F91765" w:rsidP="00F91765">
      <w:pPr>
        <w:spacing w:before="100" w:beforeAutospacing="1" w:after="100" w:afterAutospacing="1"/>
        <w:ind w:firstLine="708"/>
        <w:rPr>
          <w:rFonts w:eastAsia="Times New Roman"/>
          <w:sz w:val="28"/>
          <w:szCs w:val="28"/>
        </w:rPr>
      </w:pPr>
      <w:r w:rsidRPr="00F91765">
        <w:rPr>
          <w:rFonts w:eastAsia="Times New Roman"/>
          <w:color w:val="000000"/>
          <w:spacing w:val="-3"/>
          <w:sz w:val="28"/>
          <w:szCs w:val="28"/>
        </w:rPr>
        <w:t>Відповідно до Конституції України, Закону України «Про місцеве самоврядування в Україні», постанови Кабінету Міністрів України від 03 листопада 2010 року № 996 «Про забезпечення участі громадськості у формуванні та реалізації державної політики»</w:t>
      </w:r>
      <w:r w:rsidRPr="00F91765">
        <w:rPr>
          <w:rFonts w:eastAsia="Times New Roman"/>
          <w:sz w:val="28"/>
          <w:szCs w:val="28"/>
        </w:rPr>
        <w:t xml:space="preserve">, сільська рада </w:t>
      </w:r>
    </w:p>
    <w:p w:rsidR="00F91765" w:rsidRPr="00F91765" w:rsidRDefault="00F91765" w:rsidP="00F91765">
      <w:pPr>
        <w:spacing w:before="100" w:beforeAutospacing="1" w:after="100" w:afterAutospacing="1"/>
        <w:jc w:val="center"/>
        <w:rPr>
          <w:rFonts w:eastAsia="Times New Roman"/>
          <w:b/>
          <w:sz w:val="28"/>
          <w:szCs w:val="28"/>
        </w:rPr>
      </w:pPr>
      <w:r w:rsidRPr="00F91765">
        <w:rPr>
          <w:rFonts w:eastAsia="Times New Roman"/>
          <w:b/>
          <w:sz w:val="28"/>
          <w:szCs w:val="28"/>
        </w:rPr>
        <w:t>вирішила:</w:t>
      </w: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r w:rsidRPr="00F91765">
        <w:rPr>
          <w:rFonts w:eastAsia="Times New Roman"/>
          <w:sz w:val="28"/>
          <w:szCs w:val="28"/>
        </w:rPr>
        <w:t xml:space="preserve">1. Затвердити Програму </w:t>
      </w:r>
      <w:r w:rsidRPr="00F91765">
        <w:rPr>
          <w:rFonts w:eastAsia="Times New Roman"/>
          <w:color w:val="000000"/>
          <w:spacing w:val="-3"/>
          <w:sz w:val="28"/>
          <w:szCs w:val="28"/>
        </w:rPr>
        <w:t>сприяння розвитку громадянського суспільства</w:t>
      </w: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r w:rsidRPr="00F91765">
        <w:rPr>
          <w:rFonts w:eastAsia="Times New Roman"/>
          <w:color w:val="000000"/>
          <w:spacing w:val="-3"/>
          <w:sz w:val="28"/>
          <w:szCs w:val="28"/>
        </w:rPr>
        <w:t xml:space="preserve">на території ради на 2017 -2021 роки </w:t>
      </w:r>
      <w:r w:rsidRPr="00F91765">
        <w:rPr>
          <w:rFonts w:eastAsia="Times New Roman"/>
          <w:sz w:val="28"/>
          <w:szCs w:val="28"/>
        </w:rPr>
        <w:t>( додається).</w:t>
      </w:r>
    </w:p>
    <w:p w:rsidR="00F91765" w:rsidRPr="00F91765" w:rsidRDefault="00F91765" w:rsidP="00F91765">
      <w:pPr>
        <w:keepNext/>
        <w:autoSpaceDE w:val="0"/>
        <w:autoSpaceDN w:val="0"/>
        <w:spacing w:line="276" w:lineRule="auto"/>
        <w:outlineLvl w:val="3"/>
        <w:rPr>
          <w:rFonts w:eastAsia="Times New Roman"/>
          <w:color w:val="000000"/>
          <w:spacing w:val="-3"/>
          <w:sz w:val="28"/>
          <w:szCs w:val="28"/>
        </w:rPr>
      </w:pPr>
    </w:p>
    <w:p w:rsidR="00F91765" w:rsidRPr="00F91765" w:rsidRDefault="00F91765" w:rsidP="00F91765">
      <w:pPr>
        <w:widowControl w:val="0"/>
        <w:shd w:val="clear" w:color="auto" w:fill="FFFFFF"/>
        <w:tabs>
          <w:tab w:val="left" w:pos="1018"/>
        </w:tabs>
        <w:autoSpaceDE w:val="0"/>
        <w:autoSpaceDN w:val="0"/>
        <w:adjustRightInd w:val="0"/>
        <w:spacing w:line="317" w:lineRule="exact"/>
        <w:rPr>
          <w:rFonts w:eastAsia="Times New Roman"/>
          <w:sz w:val="28"/>
          <w:szCs w:val="28"/>
        </w:rPr>
      </w:pPr>
      <w:r w:rsidRPr="00F91765">
        <w:rPr>
          <w:rFonts w:eastAsia="Times New Roman"/>
          <w:spacing w:val="-12"/>
          <w:sz w:val="28"/>
          <w:szCs w:val="28"/>
        </w:rPr>
        <w:t xml:space="preserve">2. </w:t>
      </w:r>
      <w:r w:rsidRPr="00F91765">
        <w:rPr>
          <w:rFonts w:eastAsia="Times New Roman"/>
          <w:spacing w:val="4"/>
          <w:sz w:val="28"/>
          <w:szCs w:val="28"/>
        </w:rPr>
        <w:t xml:space="preserve">Контроль за виконанням даного рішення покласти на постійну комісію сільської ради з питань депутатської діяльності та етики, </w:t>
      </w:r>
      <w:proofErr w:type="spellStart"/>
      <w:r w:rsidRPr="00F91765">
        <w:rPr>
          <w:rFonts w:eastAsia="Times New Roman"/>
          <w:spacing w:val="4"/>
          <w:sz w:val="28"/>
          <w:szCs w:val="28"/>
        </w:rPr>
        <w:t>зв’язків</w:t>
      </w:r>
      <w:proofErr w:type="spellEnd"/>
      <w:r w:rsidRPr="00F91765">
        <w:rPr>
          <w:rFonts w:eastAsia="Times New Roman"/>
          <w:spacing w:val="4"/>
          <w:sz w:val="28"/>
          <w:szCs w:val="28"/>
        </w:rPr>
        <w:t xml:space="preserve"> з громадськими організаціями (</w:t>
      </w:r>
      <w:proofErr w:type="spellStart"/>
      <w:r w:rsidRPr="00F91765">
        <w:rPr>
          <w:rFonts w:eastAsia="Times New Roman"/>
          <w:spacing w:val="4"/>
          <w:sz w:val="28"/>
          <w:szCs w:val="28"/>
        </w:rPr>
        <w:t>Кафтан</w:t>
      </w:r>
      <w:proofErr w:type="spellEnd"/>
      <w:r w:rsidRPr="00F91765">
        <w:rPr>
          <w:rFonts w:eastAsia="Times New Roman"/>
          <w:spacing w:val="4"/>
          <w:sz w:val="28"/>
          <w:szCs w:val="28"/>
        </w:rPr>
        <w:t xml:space="preserve"> О. І.)</w:t>
      </w:r>
    </w:p>
    <w:p w:rsidR="00F91765" w:rsidRPr="00F91765" w:rsidRDefault="00F91765" w:rsidP="00F91765">
      <w:pPr>
        <w:spacing w:before="100" w:beforeAutospacing="1" w:after="100" w:afterAutospacing="1"/>
        <w:rPr>
          <w:rFonts w:eastAsia="Times New Roman"/>
          <w:sz w:val="28"/>
          <w:szCs w:val="28"/>
        </w:rPr>
      </w:pPr>
    </w:p>
    <w:p w:rsidR="00F91765" w:rsidRPr="00F91765" w:rsidRDefault="00F91765" w:rsidP="00F91765">
      <w:pPr>
        <w:spacing w:before="100" w:beforeAutospacing="1" w:after="100" w:afterAutospacing="1"/>
        <w:rPr>
          <w:rFonts w:eastAsia="Times New Roman"/>
          <w:sz w:val="28"/>
          <w:szCs w:val="28"/>
        </w:rPr>
      </w:pPr>
      <w:r w:rsidRPr="00F91765">
        <w:rPr>
          <w:rFonts w:eastAsia="Times New Roman"/>
          <w:sz w:val="28"/>
          <w:szCs w:val="28"/>
        </w:rPr>
        <w:t xml:space="preserve"> Сільський голова                                                Л. Ф. </w:t>
      </w:r>
      <w:proofErr w:type="spellStart"/>
      <w:r w:rsidRPr="00F91765">
        <w:rPr>
          <w:rFonts w:eastAsia="Times New Roman"/>
          <w:sz w:val="28"/>
          <w:szCs w:val="28"/>
        </w:rPr>
        <w:t>Гура</w:t>
      </w:r>
      <w:proofErr w:type="spellEnd"/>
    </w:p>
    <w:p w:rsidR="00F91765" w:rsidRPr="00F91765" w:rsidRDefault="00F91765" w:rsidP="00F91765">
      <w:pPr>
        <w:ind w:left="720"/>
        <w:contextualSpacing/>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rPr>
          <w:rFonts w:eastAsia="Times New Roman"/>
          <w:sz w:val="28"/>
          <w:szCs w:val="28"/>
        </w:rPr>
      </w:pPr>
    </w:p>
    <w:p w:rsidR="00F91765" w:rsidRPr="00F91765" w:rsidRDefault="00F91765" w:rsidP="00F91765">
      <w:pPr>
        <w:jc w:val="center"/>
        <w:rPr>
          <w:rFonts w:eastAsia="Times New Roman"/>
          <w:sz w:val="28"/>
          <w:szCs w:val="28"/>
        </w:rPr>
      </w:pPr>
      <w:r w:rsidRPr="00F91765">
        <w:rPr>
          <w:rFonts w:eastAsia="Times New Roman"/>
          <w:sz w:val="28"/>
          <w:szCs w:val="28"/>
        </w:rPr>
        <w:t xml:space="preserve">                                                                                             Додаток до рішення</w:t>
      </w:r>
    </w:p>
    <w:p w:rsidR="00F91765" w:rsidRPr="00F91765" w:rsidRDefault="00F91765" w:rsidP="00F91765">
      <w:pPr>
        <w:jc w:val="center"/>
        <w:rPr>
          <w:rFonts w:eastAsia="Times New Roman"/>
          <w:sz w:val="28"/>
          <w:szCs w:val="28"/>
        </w:rPr>
      </w:pPr>
      <w:r w:rsidRPr="00F91765">
        <w:rPr>
          <w:rFonts w:eastAsia="Times New Roman"/>
          <w:sz w:val="28"/>
          <w:szCs w:val="28"/>
        </w:rPr>
        <w:t xml:space="preserve">                                                                                             сесії сільської ради </w:t>
      </w:r>
    </w:p>
    <w:p w:rsidR="00F91765" w:rsidRPr="00F91765" w:rsidRDefault="00F91765" w:rsidP="00F91765">
      <w:pPr>
        <w:jc w:val="right"/>
        <w:rPr>
          <w:rFonts w:eastAsia="Times New Roman"/>
          <w:sz w:val="28"/>
          <w:szCs w:val="28"/>
        </w:rPr>
      </w:pPr>
      <w:r w:rsidRPr="00F91765">
        <w:rPr>
          <w:rFonts w:eastAsia="Times New Roman"/>
          <w:sz w:val="28"/>
          <w:szCs w:val="28"/>
        </w:rPr>
        <w:t>від 31.03.2017 р. № 122</w:t>
      </w:r>
    </w:p>
    <w:p w:rsidR="00F91765" w:rsidRPr="00F91765" w:rsidRDefault="00F91765" w:rsidP="00F91765">
      <w:pPr>
        <w:rPr>
          <w:b/>
          <w:sz w:val="28"/>
          <w:szCs w:val="28"/>
        </w:rPr>
      </w:pPr>
    </w:p>
    <w:p w:rsidR="00F91765" w:rsidRPr="00F91765" w:rsidRDefault="00F91765" w:rsidP="00F91765">
      <w:pPr>
        <w:jc w:val="center"/>
        <w:rPr>
          <w:b/>
          <w:sz w:val="28"/>
          <w:szCs w:val="28"/>
        </w:rPr>
      </w:pPr>
      <w:r w:rsidRPr="00F91765">
        <w:rPr>
          <w:b/>
          <w:sz w:val="28"/>
          <w:szCs w:val="28"/>
        </w:rPr>
        <w:t>Програма</w:t>
      </w:r>
    </w:p>
    <w:p w:rsidR="00F91765" w:rsidRPr="00F91765" w:rsidRDefault="00F91765" w:rsidP="00F91765">
      <w:pPr>
        <w:keepNext/>
        <w:autoSpaceDE w:val="0"/>
        <w:autoSpaceDN w:val="0"/>
        <w:spacing w:line="276" w:lineRule="auto"/>
        <w:jc w:val="center"/>
        <w:outlineLvl w:val="3"/>
        <w:rPr>
          <w:rFonts w:eastAsia="Times New Roman"/>
          <w:b/>
          <w:color w:val="000000"/>
          <w:spacing w:val="-3"/>
          <w:sz w:val="28"/>
          <w:szCs w:val="28"/>
        </w:rPr>
      </w:pPr>
      <w:r w:rsidRPr="00F91765">
        <w:rPr>
          <w:rFonts w:eastAsia="Times New Roman"/>
          <w:b/>
          <w:color w:val="000000"/>
          <w:spacing w:val="-3"/>
          <w:sz w:val="28"/>
          <w:szCs w:val="28"/>
        </w:rPr>
        <w:t xml:space="preserve">сприяння розвитку громадянського суспільства на території ради на </w:t>
      </w:r>
    </w:p>
    <w:p w:rsidR="00F91765" w:rsidRPr="00F91765" w:rsidRDefault="00F91765" w:rsidP="00F91765">
      <w:pPr>
        <w:keepNext/>
        <w:autoSpaceDE w:val="0"/>
        <w:autoSpaceDN w:val="0"/>
        <w:spacing w:line="276" w:lineRule="auto"/>
        <w:jc w:val="center"/>
        <w:outlineLvl w:val="3"/>
        <w:rPr>
          <w:rFonts w:eastAsia="Times New Roman"/>
          <w:b/>
          <w:color w:val="000000"/>
          <w:spacing w:val="-3"/>
          <w:sz w:val="28"/>
          <w:szCs w:val="28"/>
        </w:rPr>
      </w:pPr>
      <w:r w:rsidRPr="00F91765">
        <w:rPr>
          <w:rFonts w:eastAsia="Times New Roman"/>
          <w:b/>
          <w:color w:val="000000"/>
          <w:spacing w:val="-3"/>
          <w:sz w:val="28"/>
          <w:szCs w:val="28"/>
        </w:rPr>
        <w:t>2017 -2021 роки</w:t>
      </w:r>
    </w:p>
    <w:p w:rsidR="00F91765" w:rsidRPr="00F91765" w:rsidRDefault="00F91765" w:rsidP="00F91765">
      <w:pPr>
        <w:rPr>
          <w:rFonts w:eastAsia="Times New Roman"/>
          <w:sz w:val="28"/>
          <w:szCs w:val="28"/>
        </w:rPr>
      </w:pPr>
    </w:p>
    <w:p w:rsidR="00F91765" w:rsidRPr="00F91765" w:rsidRDefault="00F91765" w:rsidP="00F91765">
      <w:pPr>
        <w:jc w:val="both"/>
        <w:rPr>
          <w:b/>
          <w:sz w:val="28"/>
          <w:szCs w:val="28"/>
        </w:rPr>
      </w:pPr>
      <w:r w:rsidRPr="00F91765">
        <w:rPr>
          <w:b/>
          <w:sz w:val="28"/>
          <w:szCs w:val="28"/>
        </w:rPr>
        <w:t>Загальні положення</w:t>
      </w:r>
    </w:p>
    <w:p w:rsidR="00F91765" w:rsidRPr="00F91765" w:rsidRDefault="00F91765" w:rsidP="00F91765">
      <w:pPr>
        <w:ind w:firstLine="900"/>
        <w:jc w:val="both"/>
        <w:rPr>
          <w:color w:val="000000"/>
          <w:sz w:val="28"/>
          <w:szCs w:val="28"/>
        </w:rPr>
      </w:pPr>
      <w:r w:rsidRPr="00F91765">
        <w:rPr>
          <w:color w:val="000000"/>
          <w:sz w:val="28"/>
          <w:szCs w:val="28"/>
        </w:rPr>
        <w:t>Затвердження Програми зумовлено необхідністю створення державою сприятливих умов для розвитку громадянського суспільства, різноманітних форм демократії участі, налагодження ефективної взаємодії громадськості з органами державної влади та органами місцевого самоврядування.</w:t>
      </w:r>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Активне, впливове і розвинене громадянське суспільство є важливим елементом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розробці і реалізації ефективної державної політики у різних сферах, утвердженні відповідальної перед людиною правової держави, розв'язанні політичних, соціально-економічних та гуманітарних проблем.</w:t>
      </w:r>
      <w:bookmarkStart w:id="0" w:name="n29"/>
      <w:bookmarkEnd w:id="0"/>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Революція Гідності відкрила новий етап в історії розвитку громадянського суспільства, продемонструвала вплив громадськості на суспільно-політичні перетворення, стала поштовхом для оновлення та переформатування влади.</w:t>
      </w:r>
    </w:p>
    <w:p w:rsidR="00F91765" w:rsidRPr="00F91765" w:rsidRDefault="00F91765" w:rsidP="00F91765">
      <w:pPr>
        <w:ind w:firstLine="900"/>
        <w:jc w:val="both"/>
        <w:textAlignment w:val="baseline"/>
        <w:rPr>
          <w:rFonts w:eastAsia="Times New Roman"/>
          <w:color w:val="000000"/>
          <w:sz w:val="28"/>
          <w:szCs w:val="28"/>
        </w:rPr>
      </w:pPr>
      <w:bookmarkStart w:id="1" w:name="n30"/>
      <w:bookmarkEnd w:id="1"/>
      <w:r w:rsidRPr="00F91765">
        <w:rPr>
          <w:rFonts w:eastAsia="Times New Roman"/>
          <w:color w:val="000000"/>
          <w:sz w:val="28"/>
          <w:szCs w:val="28"/>
        </w:rPr>
        <w:t>У зв'язку із</w:t>
      </w:r>
      <w:r w:rsidRPr="00F91765">
        <w:rPr>
          <w:rFonts w:eastAsia="Times New Roman"/>
          <w:color w:val="000000"/>
          <w:sz w:val="28"/>
          <w:szCs w:val="28"/>
          <w:lang w:val="ru-RU"/>
        </w:rPr>
        <w:t> </w:t>
      </w:r>
      <w:hyperlink r:id="rId5" w:tgtFrame="_blank" w:history="1">
        <w:r w:rsidRPr="00F91765">
          <w:rPr>
            <w:rFonts w:eastAsia="Times New Roman"/>
            <w:sz w:val="28"/>
            <w:szCs w:val="28"/>
            <w:bdr w:val="none" w:sz="0" w:space="0" w:color="auto" w:frame="1"/>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91765">
        <w:rPr>
          <w:rFonts w:eastAsia="Times New Roman"/>
          <w:sz w:val="28"/>
          <w:szCs w:val="28"/>
        </w:rPr>
        <w:t>,</w:t>
      </w:r>
      <w:r w:rsidRPr="00F91765">
        <w:rPr>
          <w:rFonts w:eastAsia="Times New Roman"/>
          <w:color w:val="000000"/>
          <w:sz w:val="28"/>
          <w:szCs w:val="28"/>
        </w:rPr>
        <w:t xml:space="preserve"> постали нові виклики у відносинах держави та громадськості, зумовлені необхідністю запровадження європейських правил та підходів до таких відносин на основі принципів, закріплених у цій Угоді. Крім того, надзвичайно важливим є розвиток співпраці між організаціями громадянського суспільства України та держав - членів Європейського Союзу.</w:t>
      </w:r>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 xml:space="preserve">Спостерігаються зміни основних тенденцій розвитку громадянського суспільства, зростанням його ролі в різноманітних сферах – від просування реформ на державному і місцевому рівнях, європейської інтеграції та розвитку електронного урядування до 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проведення антитерористичної операції, надання допомоги внутрішньо переміщеним особам. </w:t>
      </w:r>
      <w:bookmarkStart w:id="2" w:name="n32"/>
      <w:bookmarkEnd w:id="2"/>
    </w:p>
    <w:p w:rsidR="00F91765" w:rsidRPr="00F91765" w:rsidRDefault="00F91765" w:rsidP="00F91765">
      <w:pPr>
        <w:spacing w:after="136"/>
        <w:ind w:firstLine="900"/>
        <w:jc w:val="both"/>
        <w:textAlignment w:val="baseline"/>
        <w:rPr>
          <w:rFonts w:eastAsia="Times New Roman"/>
          <w:sz w:val="28"/>
          <w:szCs w:val="28"/>
        </w:rPr>
      </w:pPr>
      <w:r w:rsidRPr="00F91765">
        <w:rPr>
          <w:rFonts w:eastAsia="Times New Roman"/>
          <w:sz w:val="28"/>
          <w:szCs w:val="28"/>
        </w:rPr>
        <w:lastRenderedPageBreak/>
        <w:t>Як показує досвід демократичних держав, розвиток громадянського суспільства за системної державної підтримки дає змогу залучати додаткові людські, організаційні, фінансові та технічні ресурси для надання соціальних та інших суспільно значущих послуг, сприяння процесу децентралізації державного управління і підвищенню його якості, а також скоротити державні видатки і запобігти корупційним ризикам.</w:t>
      </w:r>
    </w:p>
    <w:p w:rsidR="00F91765" w:rsidRPr="00F91765" w:rsidRDefault="00F91765" w:rsidP="00F91765">
      <w:pPr>
        <w:spacing w:after="136"/>
        <w:ind w:firstLine="900"/>
        <w:jc w:val="both"/>
        <w:textAlignment w:val="baseline"/>
        <w:rPr>
          <w:rFonts w:eastAsia="Times New Roman"/>
          <w:sz w:val="28"/>
          <w:szCs w:val="28"/>
        </w:rPr>
      </w:pPr>
    </w:p>
    <w:p w:rsidR="00F91765" w:rsidRPr="00F91765" w:rsidRDefault="00F91765" w:rsidP="00F91765">
      <w:pPr>
        <w:spacing w:after="136"/>
        <w:ind w:firstLine="408"/>
        <w:jc w:val="center"/>
        <w:textAlignment w:val="baseline"/>
        <w:rPr>
          <w:rFonts w:eastAsia="Times New Roman"/>
          <w:b/>
          <w:sz w:val="28"/>
          <w:szCs w:val="28"/>
        </w:rPr>
      </w:pPr>
      <w:r w:rsidRPr="00F91765">
        <w:rPr>
          <w:rFonts w:eastAsia="Times New Roman"/>
          <w:b/>
          <w:sz w:val="28"/>
          <w:szCs w:val="28"/>
        </w:rPr>
        <w:t>Обґрунтування необхідності прийняття Програми</w:t>
      </w:r>
    </w:p>
    <w:p w:rsidR="00F91765" w:rsidRPr="00F91765" w:rsidRDefault="00F91765" w:rsidP="00F91765">
      <w:pPr>
        <w:ind w:firstLine="900"/>
        <w:jc w:val="both"/>
        <w:rPr>
          <w:sz w:val="28"/>
          <w:szCs w:val="28"/>
        </w:rPr>
      </w:pPr>
      <w:r w:rsidRPr="00F91765">
        <w:rPr>
          <w:color w:val="000000"/>
          <w:sz w:val="28"/>
          <w:szCs w:val="28"/>
        </w:rPr>
        <w:t>Взаємодія органів державної влади, органів місцевого самоврядування з громадськістю залишається малоефективною через недостатню прозорість діяльності цих органів та забюрократизовані процедури такої взаємодії, низький рівень взаємної довіри.</w:t>
      </w:r>
    </w:p>
    <w:p w:rsidR="00F91765" w:rsidRPr="00F91765" w:rsidRDefault="00F91765" w:rsidP="00F91765">
      <w:pPr>
        <w:ind w:firstLine="900"/>
        <w:jc w:val="both"/>
        <w:rPr>
          <w:sz w:val="28"/>
          <w:szCs w:val="28"/>
        </w:rPr>
      </w:pPr>
      <w:r w:rsidRPr="00F91765">
        <w:rPr>
          <w:color w:val="000000"/>
          <w:sz w:val="28"/>
          <w:szCs w:val="28"/>
        </w:rPr>
        <w:t>Недосконалість чинного законодавства створює штучні бар'єри для реалізації громадських ініціатив, утворення та діяльності окремих видів організацій громадянського суспільства, розгляду та врахування громадських пропозицій органами державної влади, органами місцевого самоврядування.</w:t>
      </w:r>
    </w:p>
    <w:p w:rsidR="00F91765" w:rsidRPr="00F91765" w:rsidRDefault="00F91765" w:rsidP="00F91765">
      <w:pPr>
        <w:ind w:firstLine="900"/>
        <w:jc w:val="both"/>
        <w:rPr>
          <w:color w:val="000000"/>
          <w:sz w:val="28"/>
          <w:szCs w:val="28"/>
        </w:rPr>
      </w:pPr>
      <w:r w:rsidRPr="00F91765">
        <w:rPr>
          <w:color w:val="000000"/>
          <w:sz w:val="28"/>
          <w:szCs w:val="28"/>
        </w:rPr>
        <w:t>Недостатнім є врахування кращого міжнародного досвіду у сфері розвитку громадянського суспільства.</w:t>
      </w:r>
    </w:p>
    <w:p w:rsidR="00F91765" w:rsidRPr="00F91765" w:rsidRDefault="00F91765" w:rsidP="00F91765">
      <w:pPr>
        <w:spacing w:after="136"/>
        <w:ind w:firstLine="900"/>
        <w:jc w:val="both"/>
        <w:textAlignment w:val="baseline"/>
        <w:rPr>
          <w:rFonts w:eastAsia="Times New Roman"/>
          <w:color w:val="000000"/>
          <w:sz w:val="28"/>
          <w:szCs w:val="28"/>
        </w:rPr>
      </w:pPr>
      <w:bookmarkStart w:id="3" w:name="n39"/>
      <w:bookmarkEnd w:id="3"/>
      <w:r w:rsidRPr="00F91765">
        <w:rPr>
          <w:rFonts w:eastAsia="Times New Roman"/>
          <w:color w:val="000000"/>
          <w:sz w:val="28"/>
          <w:szCs w:val="28"/>
        </w:rPr>
        <w:t>Такий стан справ призвів до того, що:</w:t>
      </w:r>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відсутній ефективний громадський контроль за діяльністю органів державної влади, органів місцевого самоврядування;</w:t>
      </w:r>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недостатньою є практика залучення громадськості до формування та реалізації державної політики і вирішення питань місцевого значення;</w:t>
      </w:r>
      <w:bookmarkStart w:id="4" w:name="n40"/>
      <w:bookmarkEnd w:id="4"/>
    </w:p>
    <w:p w:rsidR="00F91765" w:rsidRPr="00F91765" w:rsidRDefault="00F91765" w:rsidP="00F91765">
      <w:pPr>
        <w:spacing w:after="136"/>
        <w:ind w:firstLine="900"/>
        <w:jc w:val="both"/>
        <w:textAlignment w:val="baseline"/>
        <w:rPr>
          <w:color w:val="000000"/>
          <w:sz w:val="28"/>
          <w:szCs w:val="28"/>
        </w:rPr>
      </w:pPr>
      <w:r w:rsidRPr="00F91765">
        <w:rPr>
          <w:color w:val="000000"/>
          <w:sz w:val="28"/>
          <w:szCs w:val="28"/>
        </w:rPr>
        <w:t>більшість організацій громадянського суспільства не мають доступу до державної фінансової підтримки через її обмежений обсяг, незастосування прозорих конкурсних процедур та надання необґрунтованих переваг окремим видам організацій громадянського суспільства;</w:t>
      </w:r>
    </w:p>
    <w:p w:rsidR="00F91765" w:rsidRPr="00F91765" w:rsidRDefault="00F91765" w:rsidP="00F91765">
      <w:pPr>
        <w:ind w:firstLine="900"/>
        <w:jc w:val="both"/>
        <w:rPr>
          <w:color w:val="000000"/>
          <w:sz w:val="28"/>
          <w:szCs w:val="28"/>
        </w:rPr>
      </w:pPr>
      <w:r w:rsidRPr="00F91765">
        <w:rPr>
          <w:color w:val="000000"/>
          <w:sz w:val="28"/>
          <w:szCs w:val="28"/>
        </w:rPr>
        <w:t>реалізацію програм (проектів, заходів), розроблених організаціями громадянського суспільства, для виконання (реалізації) яких надається фінансова підтримка держави, ускладнюють надмірно короткі строки, протягом яких вона надається, та необґрунтовані обмеження на види витрат, які можуть бути профінансовані за рахунок бюджетних коштів;</w:t>
      </w:r>
    </w:p>
    <w:p w:rsidR="00F91765" w:rsidRPr="00F91765" w:rsidRDefault="00F91765" w:rsidP="00F91765">
      <w:pPr>
        <w:ind w:firstLine="900"/>
        <w:jc w:val="both"/>
        <w:rPr>
          <w:color w:val="000000"/>
          <w:sz w:val="28"/>
          <w:szCs w:val="28"/>
        </w:rPr>
      </w:pPr>
      <w:r w:rsidRPr="00F91765">
        <w:rPr>
          <w:color w:val="000000"/>
          <w:sz w:val="28"/>
          <w:szCs w:val="28"/>
        </w:rPr>
        <w:t>потенціал організацій громадянського суспільства не повною мірою використовується органами виконавчої влади, органами місцевого самоврядування для надання соціальних та інших суспільно значущих послуг; спостерігається тенденція надання переваги у цій сфері державним і комунальним підприємствам та установам, що не сприяє підвищенню якості послуг та призводить до надмірного зростання бюджетних видатків;</w:t>
      </w:r>
    </w:p>
    <w:p w:rsidR="00F91765" w:rsidRPr="00F91765" w:rsidRDefault="00F91765" w:rsidP="00F91765">
      <w:pPr>
        <w:ind w:firstLine="900"/>
        <w:jc w:val="both"/>
        <w:rPr>
          <w:color w:val="000000"/>
          <w:sz w:val="28"/>
          <w:szCs w:val="28"/>
        </w:rPr>
      </w:pPr>
      <w:r w:rsidRPr="00F91765">
        <w:rPr>
          <w:color w:val="000000"/>
          <w:sz w:val="28"/>
          <w:szCs w:val="28"/>
        </w:rPr>
        <w:t>відсутня єдина державна інформаційно-просвітницька політика у сфері сприяння розвитку громадянського суспільства;</w:t>
      </w:r>
    </w:p>
    <w:p w:rsidR="00F91765" w:rsidRPr="00F91765" w:rsidRDefault="00F91765" w:rsidP="00F91765">
      <w:pPr>
        <w:ind w:firstLine="900"/>
        <w:jc w:val="both"/>
        <w:rPr>
          <w:sz w:val="28"/>
          <w:szCs w:val="28"/>
        </w:rPr>
      </w:pPr>
      <w:r w:rsidRPr="00F91765">
        <w:rPr>
          <w:sz w:val="28"/>
          <w:szCs w:val="28"/>
        </w:rPr>
        <w:t xml:space="preserve">потребує підвищення і рівень громадянської культури та освіти населення  сільської ради. Практика свідчить, що значна кількість мешканців </w:t>
      </w:r>
      <w:r w:rsidRPr="00F91765">
        <w:rPr>
          <w:sz w:val="28"/>
          <w:szCs w:val="28"/>
        </w:rPr>
        <w:lastRenderedPageBreak/>
        <w:t>неповною мірою знає власні права, не володіє інформацією про наявні можливості участі в управлінні державними і місцевими справами. Загалом недостатньою є також правова обізнаність державних службовців та посадових осіб органів місцевого самоврядування стосовно забезпечення прозорості й відкритості в управлінській діяльності, налагодження взаємодії з об’єднаннями громадян тощо;</w:t>
      </w:r>
    </w:p>
    <w:p w:rsidR="00F91765" w:rsidRPr="00F91765" w:rsidRDefault="00F91765" w:rsidP="00F91765">
      <w:pPr>
        <w:ind w:firstLine="900"/>
        <w:jc w:val="both"/>
        <w:rPr>
          <w:sz w:val="28"/>
          <w:szCs w:val="28"/>
        </w:rPr>
      </w:pPr>
      <w:r w:rsidRPr="00F91765">
        <w:rPr>
          <w:sz w:val="28"/>
          <w:szCs w:val="28"/>
        </w:rPr>
        <w:t xml:space="preserve">недостатнім є рівень вивчення громадської думки стосовно найактуальніших питань життєдіяльності району. Практично не застосовується можливість надання замовлень незалежним службам і агентствам на проведення ґрунтовних соціологічних досліджень; </w:t>
      </w:r>
      <w:r w:rsidRPr="00F91765">
        <w:rPr>
          <w:sz w:val="28"/>
          <w:szCs w:val="28"/>
        </w:rPr>
        <w:cr/>
        <w:t xml:space="preserve">          потребує вирішення питання створення та забезпечення належних умов для ефективної роботи консультативно-дорадчих органів, утворених при місцевих органах виконавчої влади та органах місцевого самоврядування. </w:t>
      </w:r>
    </w:p>
    <w:p w:rsidR="00F91765" w:rsidRPr="00F91765" w:rsidRDefault="00F91765" w:rsidP="00F91765">
      <w:pPr>
        <w:ind w:firstLine="900"/>
        <w:jc w:val="both"/>
        <w:rPr>
          <w:sz w:val="28"/>
          <w:szCs w:val="28"/>
        </w:rPr>
      </w:pPr>
    </w:p>
    <w:p w:rsidR="00F91765" w:rsidRPr="00F91765" w:rsidRDefault="00F91765" w:rsidP="00F91765">
      <w:pPr>
        <w:jc w:val="center"/>
        <w:rPr>
          <w:b/>
          <w:sz w:val="28"/>
          <w:szCs w:val="28"/>
        </w:rPr>
      </w:pPr>
      <w:r w:rsidRPr="00F91765">
        <w:rPr>
          <w:b/>
          <w:sz w:val="28"/>
          <w:szCs w:val="28"/>
        </w:rPr>
        <w:t>Мета Програми</w:t>
      </w:r>
    </w:p>
    <w:p w:rsidR="00F91765" w:rsidRPr="00F91765" w:rsidRDefault="00F91765" w:rsidP="00F91765">
      <w:pPr>
        <w:ind w:firstLine="900"/>
        <w:jc w:val="both"/>
        <w:rPr>
          <w:color w:val="000000"/>
          <w:sz w:val="28"/>
          <w:szCs w:val="28"/>
        </w:rPr>
      </w:pPr>
      <w:r w:rsidRPr="00F91765">
        <w:rPr>
          <w:color w:val="000000"/>
          <w:sz w:val="28"/>
          <w:szCs w:val="28"/>
        </w:rPr>
        <w:t>Метою Програми є створення сприятливих умов для розвитку громадянського суспільства; налагодження ефективної взаємодії громадськості з органами державної влади,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з використанням різноманітних форм демократії участі, громадської ініціативи та самоорганізації;  підтримка ініціатив інститутів громадянського суспільства для вирішення завдань регіональної політики; створення умов для участі громадян у розробленні проектів; проведення соціологічних досліджень громадської думки; забезпечення підтримки діяльності консультативно-дорадчих органів для спільного вирішення завдань суспільного розвитку сільської ради та регіональної політики.</w:t>
      </w:r>
    </w:p>
    <w:p w:rsidR="00F91765" w:rsidRPr="00F91765" w:rsidRDefault="00F91765" w:rsidP="00F91765">
      <w:pPr>
        <w:ind w:firstLine="900"/>
        <w:jc w:val="center"/>
        <w:rPr>
          <w:sz w:val="28"/>
          <w:szCs w:val="28"/>
        </w:rPr>
      </w:pPr>
    </w:p>
    <w:p w:rsidR="00F91765" w:rsidRPr="00F91765" w:rsidRDefault="00F91765" w:rsidP="00F91765">
      <w:pPr>
        <w:ind w:firstLine="900"/>
        <w:jc w:val="center"/>
        <w:rPr>
          <w:b/>
          <w:sz w:val="28"/>
          <w:szCs w:val="28"/>
        </w:rPr>
      </w:pPr>
      <w:r w:rsidRPr="00F91765">
        <w:rPr>
          <w:b/>
          <w:sz w:val="28"/>
          <w:szCs w:val="28"/>
        </w:rPr>
        <w:t>Основні завдання Програми</w:t>
      </w:r>
    </w:p>
    <w:p w:rsidR="00F91765" w:rsidRPr="00F91765" w:rsidRDefault="00F91765" w:rsidP="00F91765">
      <w:pPr>
        <w:ind w:firstLine="900"/>
        <w:jc w:val="both"/>
        <w:rPr>
          <w:sz w:val="28"/>
          <w:szCs w:val="28"/>
        </w:rPr>
      </w:pPr>
      <w:r w:rsidRPr="00F91765">
        <w:rPr>
          <w:sz w:val="28"/>
          <w:szCs w:val="28"/>
        </w:rPr>
        <w:t>Основними завданнями Програми є:</w:t>
      </w:r>
    </w:p>
    <w:p w:rsidR="00F91765" w:rsidRPr="00F91765" w:rsidRDefault="00F91765" w:rsidP="00F91765">
      <w:pPr>
        <w:ind w:firstLine="900"/>
        <w:jc w:val="both"/>
        <w:rPr>
          <w:sz w:val="28"/>
          <w:szCs w:val="28"/>
        </w:rPr>
      </w:pPr>
      <w:r w:rsidRPr="00F91765">
        <w:rPr>
          <w:sz w:val="28"/>
          <w:szCs w:val="28"/>
        </w:rPr>
        <w:t>налагодження ефективної та конструктивної системи постійного діалогу, взаємодії інститутів громадянського суспільства і місцевих органів виконавчої влади та органів місцевого самоврядування для спільного вирішення завдань державної та регіональної політики;</w:t>
      </w:r>
    </w:p>
    <w:p w:rsidR="00F91765" w:rsidRPr="00F91765" w:rsidRDefault="00F91765" w:rsidP="00F91765">
      <w:pPr>
        <w:ind w:firstLine="900"/>
        <w:jc w:val="both"/>
        <w:rPr>
          <w:sz w:val="28"/>
          <w:szCs w:val="28"/>
        </w:rPr>
      </w:pPr>
      <w:r w:rsidRPr="00F91765">
        <w:rPr>
          <w:sz w:val="28"/>
          <w:szCs w:val="28"/>
        </w:rPr>
        <w:t>забезпечення фінансової підтримки програм (проектів, заходів), розроблених громадськими, благодійними організаціями та творчими спілками;</w:t>
      </w:r>
    </w:p>
    <w:p w:rsidR="00F91765" w:rsidRPr="00F91765" w:rsidRDefault="00F91765" w:rsidP="00F91765">
      <w:pPr>
        <w:ind w:firstLine="900"/>
        <w:jc w:val="both"/>
        <w:rPr>
          <w:color w:val="000000"/>
          <w:sz w:val="28"/>
          <w:szCs w:val="28"/>
        </w:rPr>
      </w:pPr>
      <w:r w:rsidRPr="00F91765">
        <w:rPr>
          <w:color w:val="000000"/>
          <w:sz w:val="28"/>
          <w:szCs w:val="28"/>
        </w:rPr>
        <w:t>запровадження обов'язкового залучення організацій громадянського суспільства до оцінки потреб громадян у соціальних та інших суспільно значущих послугах;</w:t>
      </w:r>
    </w:p>
    <w:p w:rsidR="00F91765" w:rsidRPr="00F91765" w:rsidRDefault="00F91765" w:rsidP="00F91765">
      <w:pPr>
        <w:ind w:firstLine="900"/>
        <w:jc w:val="both"/>
        <w:rPr>
          <w:color w:val="000000"/>
          <w:sz w:val="28"/>
          <w:szCs w:val="28"/>
        </w:rPr>
      </w:pPr>
      <w:r w:rsidRPr="00F91765">
        <w:rPr>
          <w:color w:val="000000"/>
          <w:sz w:val="28"/>
          <w:szCs w:val="28"/>
        </w:rPr>
        <w:t>забезпечення органами виконавчої влади та органами місцевого самоврядування доступу громадськості до консультацій та правової допомоги (у тому числі безоплатної) з питань порядку створення і діяльності організацій громадянського суспільства;</w:t>
      </w:r>
    </w:p>
    <w:p w:rsidR="00F91765" w:rsidRPr="00F91765" w:rsidRDefault="00F91765" w:rsidP="00F91765">
      <w:pPr>
        <w:ind w:firstLine="900"/>
        <w:jc w:val="both"/>
        <w:rPr>
          <w:sz w:val="28"/>
          <w:szCs w:val="28"/>
        </w:rPr>
      </w:pPr>
      <w:r w:rsidRPr="00F91765">
        <w:rPr>
          <w:sz w:val="28"/>
          <w:szCs w:val="28"/>
        </w:rPr>
        <w:lastRenderedPageBreak/>
        <w:t>організація проведення постійних соціологічних досліджень громадської думки щодо діяльності місцевих органів виконавчої влади та органів місцевого самоврядування з визначенням на конкурсній основі виконавців таких досліджень;</w:t>
      </w:r>
    </w:p>
    <w:p w:rsidR="00F91765" w:rsidRPr="00F91765" w:rsidRDefault="00F91765" w:rsidP="00F91765">
      <w:pPr>
        <w:spacing w:after="136"/>
        <w:ind w:firstLine="900"/>
        <w:jc w:val="both"/>
        <w:textAlignment w:val="baseline"/>
        <w:rPr>
          <w:rFonts w:eastAsia="Times New Roman"/>
          <w:color w:val="000000"/>
          <w:sz w:val="28"/>
          <w:szCs w:val="28"/>
        </w:rPr>
      </w:pPr>
      <w:r w:rsidRPr="00F91765">
        <w:rPr>
          <w:rFonts w:eastAsia="Times New Roman"/>
          <w:color w:val="000000"/>
          <w:sz w:val="28"/>
          <w:szCs w:val="28"/>
        </w:rPr>
        <w:t>забезпечення надання методичної, консультативної та організаційної допомоги органам державної влади, органам місцевого самоврядування з питань взаємодії з організаціями громадянського суспільства, розвитку громадянського суспільства</w:t>
      </w:r>
      <w:bookmarkStart w:id="5" w:name="n108"/>
      <w:bookmarkEnd w:id="5"/>
      <w:r w:rsidRPr="00F91765">
        <w:rPr>
          <w:rFonts w:eastAsia="Times New Roman"/>
          <w:color w:val="000000"/>
          <w:sz w:val="28"/>
          <w:szCs w:val="28"/>
        </w:rPr>
        <w:t>.</w:t>
      </w:r>
    </w:p>
    <w:p w:rsidR="00F91765" w:rsidRPr="00F91765" w:rsidRDefault="00F91765" w:rsidP="00F91765">
      <w:pPr>
        <w:spacing w:after="136"/>
        <w:ind w:firstLine="900"/>
        <w:jc w:val="center"/>
        <w:textAlignment w:val="baseline"/>
        <w:rPr>
          <w:rFonts w:eastAsia="Times New Roman"/>
          <w:b/>
          <w:sz w:val="28"/>
          <w:szCs w:val="28"/>
          <w:lang w:val="ru-RU"/>
        </w:rPr>
      </w:pPr>
      <w:proofErr w:type="spellStart"/>
      <w:r w:rsidRPr="00F91765">
        <w:rPr>
          <w:rFonts w:eastAsia="Times New Roman"/>
          <w:b/>
          <w:sz w:val="28"/>
          <w:szCs w:val="28"/>
          <w:lang w:val="ru-RU"/>
        </w:rPr>
        <w:t>Фінансов</w:t>
      </w:r>
      <w:proofErr w:type="spellEnd"/>
      <w:r w:rsidRPr="00F91765">
        <w:rPr>
          <w:rFonts w:eastAsia="Times New Roman"/>
          <w:b/>
          <w:sz w:val="28"/>
          <w:szCs w:val="28"/>
        </w:rPr>
        <w:t xml:space="preserve"> </w:t>
      </w:r>
      <w:proofErr w:type="spellStart"/>
      <w:r w:rsidRPr="00F91765">
        <w:rPr>
          <w:rFonts w:eastAsia="Times New Roman"/>
          <w:b/>
          <w:sz w:val="28"/>
          <w:szCs w:val="28"/>
          <w:lang w:val="ru-RU"/>
        </w:rPr>
        <w:t>езабезпечення</w:t>
      </w:r>
      <w:proofErr w:type="spellEnd"/>
      <w:r w:rsidRPr="00F91765">
        <w:rPr>
          <w:rFonts w:eastAsia="Times New Roman"/>
          <w:b/>
          <w:sz w:val="28"/>
          <w:szCs w:val="28"/>
        </w:rPr>
        <w:t xml:space="preserve"> </w:t>
      </w:r>
      <w:proofErr w:type="spellStart"/>
      <w:r w:rsidRPr="00F91765">
        <w:rPr>
          <w:rFonts w:eastAsia="Times New Roman"/>
          <w:b/>
          <w:sz w:val="28"/>
          <w:szCs w:val="28"/>
          <w:lang w:val="ru-RU"/>
        </w:rPr>
        <w:t>Програми</w:t>
      </w:r>
      <w:proofErr w:type="spellEnd"/>
    </w:p>
    <w:p w:rsidR="00F91765" w:rsidRPr="00F91765" w:rsidRDefault="00F91765" w:rsidP="00F91765">
      <w:pPr>
        <w:ind w:firstLine="900"/>
        <w:jc w:val="both"/>
        <w:rPr>
          <w:sz w:val="28"/>
          <w:szCs w:val="28"/>
        </w:rPr>
      </w:pPr>
      <w:r w:rsidRPr="00F91765">
        <w:rPr>
          <w:sz w:val="28"/>
          <w:szCs w:val="28"/>
        </w:rPr>
        <w:t>Фінансове забезпечення заходів, реалізація яких передбачається цією Програмою, здійснюватиметься за рахунок коштів місцевого бюджету у межах наявного фінансового ресурсу, а також інших джерел, не заборонених чинним законодавством.</w:t>
      </w:r>
    </w:p>
    <w:p w:rsidR="00F91765" w:rsidRPr="00F91765" w:rsidRDefault="00F91765" w:rsidP="00F91765">
      <w:pPr>
        <w:ind w:firstLine="900"/>
        <w:jc w:val="center"/>
        <w:rPr>
          <w:b/>
          <w:sz w:val="28"/>
          <w:szCs w:val="28"/>
        </w:rPr>
      </w:pPr>
      <w:r w:rsidRPr="00F91765">
        <w:rPr>
          <w:b/>
          <w:sz w:val="28"/>
          <w:szCs w:val="28"/>
        </w:rPr>
        <w:t>Очікуваний результат упровадження Програми</w:t>
      </w:r>
    </w:p>
    <w:p w:rsidR="00F91765" w:rsidRPr="00F91765" w:rsidRDefault="00F91765" w:rsidP="00F91765">
      <w:pPr>
        <w:ind w:firstLine="900"/>
        <w:jc w:val="center"/>
        <w:rPr>
          <w:sz w:val="28"/>
          <w:szCs w:val="28"/>
        </w:rPr>
      </w:pPr>
    </w:p>
    <w:p w:rsidR="00F91765" w:rsidRPr="00F91765" w:rsidRDefault="00F91765" w:rsidP="00F91765">
      <w:pPr>
        <w:ind w:firstLine="900"/>
        <w:jc w:val="both"/>
        <w:rPr>
          <w:sz w:val="28"/>
          <w:szCs w:val="28"/>
        </w:rPr>
      </w:pPr>
      <w:r w:rsidRPr="00F91765">
        <w:rPr>
          <w:sz w:val="28"/>
          <w:szCs w:val="28"/>
        </w:rPr>
        <w:t>Реалізація Програми дасть змогу підвищити роль громадськості у формуванні та реалізації державної політики сприяння розвитку громадянського суспільства в Україні, залучити інститути громадянського суспільства до формування та реалізації державної та регіональної політики, а також:</w:t>
      </w:r>
    </w:p>
    <w:p w:rsidR="00F91765" w:rsidRPr="00F91765" w:rsidRDefault="00F91765" w:rsidP="00F91765">
      <w:pPr>
        <w:ind w:firstLine="900"/>
        <w:jc w:val="both"/>
        <w:rPr>
          <w:sz w:val="28"/>
          <w:szCs w:val="28"/>
        </w:rPr>
      </w:pPr>
      <w:r w:rsidRPr="00F91765">
        <w:rPr>
          <w:sz w:val="28"/>
          <w:szCs w:val="28"/>
        </w:rPr>
        <w:t>поліпшити якість надання соціальних послуг населенню, залучити для цього додаткові ресурси;</w:t>
      </w:r>
    </w:p>
    <w:p w:rsidR="00F91765" w:rsidRPr="00F91765" w:rsidRDefault="00F91765" w:rsidP="00F91765">
      <w:pPr>
        <w:ind w:firstLine="900"/>
        <w:jc w:val="both"/>
        <w:rPr>
          <w:sz w:val="28"/>
          <w:szCs w:val="28"/>
        </w:rPr>
      </w:pPr>
      <w:r w:rsidRPr="00F91765">
        <w:rPr>
          <w:sz w:val="28"/>
          <w:szCs w:val="28"/>
        </w:rPr>
        <w:t>підвищити рівень громадянської культури і правової освіти населення району;</w:t>
      </w:r>
    </w:p>
    <w:p w:rsidR="00F91765" w:rsidRPr="00F91765" w:rsidRDefault="00F91765" w:rsidP="00F91765">
      <w:pPr>
        <w:ind w:firstLine="900"/>
        <w:jc w:val="both"/>
        <w:rPr>
          <w:sz w:val="28"/>
          <w:szCs w:val="28"/>
        </w:rPr>
      </w:pPr>
      <w:r w:rsidRPr="00F91765">
        <w:rPr>
          <w:sz w:val="28"/>
          <w:szCs w:val="28"/>
        </w:rPr>
        <w:t>підвищити професійний рівень державних службовців, посадових осіб органів місцевого самоврядування та представників інститутів громадянського суспільства;</w:t>
      </w:r>
    </w:p>
    <w:p w:rsidR="00F91765" w:rsidRPr="00F91765" w:rsidRDefault="00F91765" w:rsidP="00F91765">
      <w:pPr>
        <w:ind w:firstLine="900"/>
        <w:jc w:val="both"/>
        <w:rPr>
          <w:sz w:val="28"/>
          <w:szCs w:val="28"/>
        </w:rPr>
      </w:pPr>
      <w:r w:rsidRPr="00F91765">
        <w:rPr>
          <w:sz w:val="28"/>
          <w:szCs w:val="28"/>
        </w:rPr>
        <w:t>забезпечити оптимізацію бюджетних витрат на суспільно корисні послуги завдяки залученню додаткових ресурсів;</w:t>
      </w:r>
    </w:p>
    <w:p w:rsidR="00F91765" w:rsidRPr="00F91765" w:rsidRDefault="00F91765" w:rsidP="00F91765">
      <w:pPr>
        <w:ind w:firstLine="900"/>
        <w:jc w:val="both"/>
        <w:rPr>
          <w:sz w:val="28"/>
          <w:szCs w:val="28"/>
        </w:rPr>
      </w:pPr>
      <w:r w:rsidRPr="00F91765">
        <w:rPr>
          <w:sz w:val="28"/>
          <w:szCs w:val="28"/>
        </w:rPr>
        <w:t>збільшити можливості залучення позабюджетних надходжень для реалізації самостійних проектів інститутів громадянського суспільства та спільних з місцевими органами виконавчої влади, органами місцевого самоврядування, спрямованих на вирішення соціально-економічних завдань розвитку сіл сільської ради.</w:t>
      </w:r>
    </w:p>
    <w:p w:rsidR="00F91765" w:rsidRPr="00F91765" w:rsidRDefault="00F91765" w:rsidP="00F91765">
      <w:pPr>
        <w:jc w:val="both"/>
        <w:rPr>
          <w:sz w:val="28"/>
          <w:szCs w:val="28"/>
        </w:rPr>
      </w:pPr>
    </w:p>
    <w:p w:rsidR="00F91765" w:rsidRPr="00F91765" w:rsidRDefault="00F91765" w:rsidP="00F91765">
      <w:pPr>
        <w:jc w:val="both"/>
        <w:rPr>
          <w:sz w:val="28"/>
          <w:szCs w:val="28"/>
        </w:rPr>
      </w:pPr>
    </w:p>
    <w:p w:rsidR="00F91765" w:rsidRPr="00F91765" w:rsidRDefault="00F91765" w:rsidP="00F91765">
      <w:pPr>
        <w:rPr>
          <w:sz w:val="28"/>
          <w:szCs w:val="28"/>
        </w:rPr>
      </w:pPr>
    </w:p>
    <w:p w:rsidR="00F91765" w:rsidRPr="00F91765" w:rsidRDefault="00F91765" w:rsidP="00F91765">
      <w:pPr>
        <w:rPr>
          <w:sz w:val="28"/>
          <w:szCs w:val="28"/>
        </w:rPr>
      </w:pPr>
      <w:r w:rsidRPr="00F91765">
        <w:rPr>
          <w:sz w:val="28"/>
          <w:szCs w:val="28"/>
        </w:rPr>
        <w:t xml:space="preserve">Секретар сільської ради                                        К. А. </w:t>
      </w:r>
      <w:proofErr w:type="spellStart"/>
      <w:r w:rsidRPr="00F91765">
        <w:rPr>
          <w:sz w:val="28"/>
          <w:szCs w:val="28"/>
        </w:rPr>
        <w:t>Мацерук</w:t>
      </w:r>
      <w:proofErr w:type="spellEnd"/>
      <w:r w:rsidRPr="00F91765">
        <w:rPr>
          <w:sz w:val="28"/>
          <w:szCs w:val="28"/>
        </w:rPr>
        <w:t xml:space="preserve">    </w:t>
      </w:r>
    </w:p>
    <w:p w:rsidR="00F91765" w:rsidRPr="00F91765" w:rsidRDefault="00F91765" w:rsidP="00F91765">
      <w:pPr>
        <w:rPr>
          <w:sz w:val="28"/>
          <w:szCs w:val="28"/>
        </w:rPr>
      </w:pPr>
    </w:p>
    <w:p w:rsidR="00F91765" w:rsidRPr="00F91765" w:rsidRDefault="00F91765" w:rsidP="00F91765">
      <w:pPr>
        <w:rPr>
          <w:sz w:val="28"/>
          <w:szCs w:val="28"/>
        </w:rPr>
      </w:pPr>
    </w:p>
    <w:p w:rsidR="00D70E58" w:rsidRPr="00F91765" w:rsidRDefault="00D70E58" w:rsidP="00F91765">
      <w:bookmarkStart w:id="6" w:name="_GoBack"/>
      <w:bookmarkEnd w:id="6"/>
    </w:p>
    <w:sectPr w:rsidR="00D70E58" w:rsidRPr="00F91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6131"/>
    <w:multiLevelType w:val="hybridMultilevel"/>
    <w:tmpl w:val="34506324"/>
    <w:lvl w:ilvl="0" w:tplc="2878D2BC">
      <w:start w:val="17"/>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6EC53C8B"/>
    <w:multiLevelType w:val="hybridMultilevel"/>
    <w:tmpl w:val="69D0C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31"/>
    <w:rsid w:val="006F3B3F"/>
    <w:rsid w:val="0083623D"/>
    <w:rsid w:val="00AE4331"/>
    <w:rsid w:val="00D70E58"/>
    <w:rsid w:val="00F91765"/>
    <w:rsid w:val="00FF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3F44B-1F2C-4C88-9F80-06423372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331"/>
    <w:pPr>
      <w:spacing w:line="240" w:lineRule="auto"/>
    </w:pPr>
    <w:rPr>
      <w:rFonts w:eastAsia="Calibri"/>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2">
    <w:name w:val="Font Style62"/>
    <w:rsid w:val="00AE4331"/>
    <w:rPr>
      <w:rFonts w:ascii="Times New Roman" w:hAnsi="Times New Roman" w:cs="Times New Roman"/>
      <w:sz w:val="18"/>
      <w:szCs w:val="18"/>
    </w:rPr>
  </w:style>
  <w:style w:type="paragraph" w:customStyle="1" w:styleId="a3">
    <w:name w:val="Текст_сес"/>
    <w:basedOn w:val="a"/>
    <w:rsid w:val="00AE4331"/>
    <w:pPr>
      <w:widowControl w:val="0"/>
      <w:autoSpaceDE w:val="0"/>
      <w:autoSpaceDN w:val="0"/>
      <w:adjustRightInd w:val="0"/>
      <w:spacing w:after="120"/>
      <w:ind w:firstLine="567"/>
      <w:jc w:val="both"/>
    </w:pPr>
    <w:rPr>
      <w:rFonts w:eastAsia="Times New Roman"/>
    </w:rPr>
  </w:style>
  <w:style w:type="paragraph" w:styleId="a4">
    <w:name w:val="List Paragraph"/>
    <w:basedOn w:val="a"/>
    <w:uiPriority w:val="34"/>
    <w:qFormat/>
    <w:rsid w:val="00FF4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984_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сальсовет</dc:creator>
  <cp:keywords/>
  <dc:description/>
  <cp:lastModifiedBy>сальсовет</cp:lastModifiedBy>
  <cp:revision>2</cp:revision>
  <dcterms:created xsi:type="dcterms:W3CDTF">2018-11-16T12:25:00Z</dcterms:created>
  <dcterms:modified xsi:type="dcterms:W3CDTF">2018-11-16T12:25:00Z</dcterms:modified>
</cp:coreProperties>
</file>