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D64" w:rsidRPr="00A02D64" w:rsidRDefault="00A02D64" w:rsidP="00A02D64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eastAsia="ru-RU"/>
        </w:rPr>
        <w:tab/>
      </w:r>
      <w:r w:rsidRPr="00A02D64">
        <w:rPr>
          <w:rFonts w:eastAsia="Times New Roman"/>
          <w:lang w:val="uk-UA" w:eastAsia="ru-RU"/>
        </w:rPr>
        <w:tab/>
      </w:r>
    </w:p>
    <w:p w:rsidR="00A02D64" w:rsidRPr="00A02D64" w:rsidRDefault="00A02D64" w:rsidP="00A02D64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b/>
          <w:bCs/>
          <w:lang w:val="uk-UA" w:eastAsia="ru-RU"/>
        </w:rPr>
        <w:t xml:space="preserve">                                                        УКРАЇНА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 w:rsidRPr="00A02D64">
        <w:rPr>
          <w:rFonts w:eastAsia="Times New Roman"/>
          <w:b/>
          <w:bCs/>
          <w:lang w:val="uk-UA" w:eastAsia="ru-RU"/>
        </w:rPr>
        <w:t>ВИСОЦЬКА СІЛЬСЬКА РАДА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proofErr w:type="spellStart"/>
      <w:r w:rsidRPr="00A02D64">
        <w:rPr>
          <w:rFonts w:eastAsia="Times New Roman"/>
          <w:b/>
          <w:bCs/>
          <w:lang w:val="uk-UA" w:eastAsia="ru-RU"/>
        </w:rPr>
        <w:t>Дубровицького</w:t>
      </w:r>
      <w:proofErr w:type="spellEnd"/>
      <w:r w:rsidRPr="00A02D64">
        <w:rPr>
          <w:rFonts w:eastAsia="Times New Roman"/>
          <w:b/>
          <w:bCs/>
          <w:lang w:val="uk-UA" w:eastAsia="ru-RU"/>
        </w:rPr>
        <w:t xml:space="preserve"> району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 w:rsidRPr="00A02D64">
        <w:rPr>
          <w:rFonts w:eastAsia="Times New Roman"/>
          <w:b/>
          <w:bCs/>
          <w:lang w:val="uk-UA" w:eastAsia="ru-RU"/>
        </w:rPr>
        <w:t>Рівненської області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A02D64" w:rsidRPr="00A02D64" w:rsidRDefault="00A02D64" w:rsidP="00A02D64">
      <w:pPr>
        <w:spacing w:line="240" w:lineRule="auto"/>
        <w:jc w:val="center"/>
        <w:rPr>
          <w:rFonts w:eastAsia="Times New Roman"/>
          <w:b/>
          <w:bCs/>
          <w:lang w:val="uk-UA" w:eastAsia="ru-RU"/>
        </w:rPr>
      </w:pPr>
      <w:r w:rsidRPr="00A02D64">
        <w:rPr>
          <w:rFonts w:eastAsia="Times New Roman"/>
          <w:b/>
          <w:bCs/>
          <w:lang w:val="uk-UA" w:eastAsia="ru-RU"/>
        </w:rPr>
        <w:t>РІШЕННЯ</w:t>
      </w:r>
    </w:p>
    <w:p w:rsidR="00A02D64" w:rsidRPr="00A02D64" w:rsidRDefault="00A02D64" w:rsidP="00A02D64">
      <w:pPr>
        <w:spacing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val="uk-UA" w:eastAsia="ru-RU"/>
        </w:rPr>
        <w:t>від  31 березня   2017 року                                                               № 124</w:t>
      </w:r>
    </w:p>
    <w:p w:rsidR="00A02D64" w:rsidRPr="00A02D64" w:rsidRDefault="00A02D64" w:rsidP="00A02D64">
      <w:pPr>
        <w:spacing w:after="0" w:line="240" w:lineRule="auto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Про затвердження  Програми </w:t>
      </w: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матеріальної підтримки діяльності </w:t>
      </w: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правоохоронних органів в контексті </w:t>
      </w: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взаємодії із органами місцевого </w:t>
      </w: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самоврядування на 2017 рік    </w:t>
      </w: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b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ind w:firstLine="708"/>
        <w:rPr>
          <w:rFonts w:cs="Calibri"/>
          <w:lang w:val="uk-UA" w:eastAsia="uk-UA"/>
        </w:rPr>
      </w:pPr>
      <w:r w:rsidRPr="00A02D64">
        <w:rPr>
          <w:rFonts w:cs="Calibri"/>
          <w:lang w:val="uk-UA" w:eastAsia="uk-UA"/>
        </w:rPr>
        <w:t>Керуючись п.п.22п. 1 ст. 26 Закону України «Про місцеве самоврядування в Україні»,  сільська рада:</w:t>
      </w:r>
    </w:p>
    <w:p w:rsidR="00A02D64" w:rsidRPr="00A02D64" w:rsidRDefault="00A02D64" w:rsidP="00A02D64">
      <w:pPr>
        <w:spacing w:after="0" w:line="240" w:lineRule="auto"/>
        <w:ind w:firstLine="708"/>
        <w:rPr>
          <w:rFonts w:cs="Calibri"/>
          <w:lang w:val="uk-UA" w:eastAsia="uk-UA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lang w:val="uk-UA" w:eastAsia="uk-UA"/>
        </w:rPr>
      </w:pPr>
      <w:r w:rsidRPr="00A02D64">
        <w:rPr>
          <w:rFonts w:eastAsia="Calibri"/>
          <w:b/>
          <w:sz w:val="24"/>
          <w:lang w:val="uk-UA" w:eastAsia="uk-UA"/>
        </w:rPr>
        <w:t>ВИРІШИЛА: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sz w:val="24"/>
          <w:lang w:val="uk-UA" w:eastAsia="uk-UA"/>
        </w:rPr>
      </w:pPr>
    </w:p>
    <w:p w:rsidR="00A02D64" w:rsidRPr="00A02D64" w:rsidRDefault="00A02D64" w:rsidP="00A02D64">
      <w:pPr>
        <w:spacing w:after="0" w:line="240" w:lineRule="auto"/>
        <w:ind w:firstLine="708"/>
        <w:rPr>
          <w:rFonts w:eastAsia="Calibri"/>
          <w:lang w:val="uk-UA" w:eastAsia="uk-UA"/>
        </w:rPr>
      </w:pPr>
      <w:r w:rsidRPr="00A02D64">
        <w:rPr>
          <w:rFonts w:eastAsia="Calibri"/>
          <w:lang w:val="uk-UA" w:eastAsia="uk-UA"/>
        </w:rPr>
        <w:t xml:space="preserve">1.Затвердити Програму </w:t>
      </w:r>
      <w:r w:rsidRPr="00A02D64">
        <w:rPr>
          <w:rFonts w:eastAsia="Calibri"/>
          <w:lang w:val="uk-UA" w:eastAsia="ru-RU"/>
        </w:rPr>
        <w:t>матеріальної підтримки діяльності правоохоронних органів в контексті взаємодії із органами місцевого самоврядування на 2017 рік</w:t>
      </w:r>
      <w:r w:rsidRPr="00A02D64">
        <w:rPr>
          <w:rFonts w:eastAsia="Calibri"/>
          <w:b/>
          <w:lang w:val="uk-UA" w:eastAsia="uk-UA"/>
        </w:rPr>
        <w:t>,</w:t>
      </w:r>
      <w:r w:rsidRPr="00A02D64">
        <w:rPr>
          <w:rFonts w:eastAsia="Calibri"/>
          <w:lang w:val="uk-UA" w:eastAsia="uk-UA"/>
        </w:rPr>
        <w:t xml:space="preserve"> згідно додатку.</w:t>
      </w:r>
    </w:p>
    <w:p w:rsidR="00A02D64" w:rsidRPr="00A02D64" w:rsidRDefault="00A02D64" w:rsidP="00A02D64">
      <w:pPr>
        <w:spacing w:after="0" w:line="240" w:lineRule="auto"/>
        <w:ind w:firstLine="708"/>
        <w:rPr>
          <w:rFonts w:eastAsia="Calibri"/>
          <w:lang w:val="uk-UA" w:eastAsia="uk-UA"/>
        </w:rPr>
      </w:pPr>
    </w:p>
    <w:p w:rsidR="00A02D64" w:rsidRPr="00A02D64" w:rsidRDefault="00A02D64" w:rsidP="00A02D64">
      <w:pPr>
        <w:spacing w:after="0" w:line="240" w:lineRule="auto"/>
        <w:ind w:firstLine="708"/>
        <w:rPr>
          <w:rFonts w:eastAsia="Calibri"/>
          <w:lang w:val="uk-UA" w:eastAsia="uk-UA"/>
        </w:rPr>
      </w:pPr>
      <w:r w:rsidRPr="00A02D64">
        <w:rPr>
          <w:rFonts w:eastAsia="Calibri"/>
          <w:lang w:val="uk-UA" w:eastAsia="uk-UA"/>
        </w:rPr>
        <w:t>2.Контроль за виконанням  рішення покласти на</w:t>
      </w:r>
      <w:r w:rsidRPr="00A02D64">
        <w:rPr>
          <w:rFonts w:eastAsia="Calibri"/>
          <w:bCs/>
          <w:lang w:val="uk-UA" w:eastAsia="ru-RU"/>
        </w:rPr>
        <w:t xml:space="preserve"> постійну комісію з питань бюджету, комунальної власності та соціально-економічного розвитку (</w:t>
      </w:r>
      <w:proofErr w:type="spellStart"/>
      <w:r w:rsidRPr="00A02D64">
        <w:rPr>
          <w:rFonts w:eastAsia="Calibri"/>
          <w:bCs/>
          <w:lang w:val="uk-UA" w:eastAsia="ru-RU"/>
        </w:rPr>
        <w:t>Сокол</w:t>
      </w:r>
      <w:proofErr w:type="spellEnd"/>
      <w:r w:rsidRPr="00A02D64">
        <w:rPr>
          <w:rFonts w:eastAsia="Calibri"/>
          <w:bCs/>
          <w:lang w:val="uk-UA" w:eastAsia="ru-RU"/>
        </w:rPr>
        <w:t xml:space="preserve"> М. П.).</w:t>
      </w:r>
    </w:p>
    <w:p w:rsidR="00A02D64" w:rsidRPr="00A02D64" w:rsidRDefault="00A02D64" w:rsidP="00A02D64">
      <w:pPr>
        <w:spacing w:after="0" w:line="240" w:lineRule="auto"/>
        <w:ind w:firstLine="708"/>
        <w:rPr>
          <w:rFonts w:eastAsia="Calibri"/>
          <w:lang w:val="uk-UA" w:eastAsia="uk-UA"/>
        </w:rPr>
      </w:pPr>
    </w:p>
    <w:p w:rsidR="00A02D64" w:rsidRPr="00A02D64" w:rsidRDefault="00A02D64" w:rsidP="00A02D64">
      <w:pPr>
        <w:spacing w:after="0" w:line="240" w:lineRule="auto"/>
        <w:ind w:firstLine="708"/>
        <w:rPr>
          <w:rFonts w:eastAsia="Calibri"/>
          <w:sz w:val="24"/>
          <w:lang w:val="uk-UA" w:eastAsia="uk-UA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val="uk-UA" w:eastAsia="ru-RU"/>
        </w:rPr>
        <w:t xml:space="preserve">Сільський голова                                                Л. Ф. </w:t>
      </w:r>
      <w:proofErr w:type="spellStart"/>
      <w:r w:rsidRPr="00A02D64">
        <w:rPr>
          <w:rFonts w:eastAsia="Times New Roman"/>
          <w:lang w:val="uk-UA" w:eastAsia="ru-RU"/>
        </w:rPr>
        <w:t>Гура</w:t>
      </w:r>
      <w:proofErr w:type="spellEnd"/>
    </w:p>
    <w:p w:rsidR="00A02D64" w:rsidRPr="00A02D64" w:rsidRDefault="00A02D64" w:rsidP="00A02D64">
      <w:pPr>
        <w:spacing w:after="0" w:line="240" w:lineRule="auto"/>
        <w:jc w:val="left"/>
        <w:rPr>
          <w:rFonts w:eastAsia="Times New Roman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left"/>
        <w:rPr>
          <w:rFonts w:eastAsia="Calibri"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A02D64">
        <w:rPr>
          <w:rFonts w:eastAsia="Times New Roman"/>
          <w:lang w:val="uk-UA" w:eastAsia="ru-RU"/>
        </w:rPr>
        <w:t xml:space="preserve">                                                                                             Додаток до рішення</w:t>
      </w:r>
    </w:p>
    <w:p w:rsidR="00A02D64" w:rsidRPr="00A02D64" w:rsidRDefault="00A02D64" w:rsidP="00A02D64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A02D64">
        <w:rPr>
          <w:rFonts w:eastAsia="Times New Roman"/>
          <w:lang w:val="uk-UA" w:eastAsia="ru-RU"/>
        </w:rPr>
        <w:t xml:space="preserve">                                                                                             сесії сільської ради </w:t>
      </w:r>
    </w:p>
    <w:p w:rsidR="00A02D64" w:rsidRPr="00A02D64" w:rsidRDefault="00A02D64" w:rsidP="00A02D64">
      <w:pPr>
        <w:spacing w:after="0" w:line="240" w:lineRule="auto"/>
        <w:jc w:val="right"/>
        <w:rPr>
          <w:rFonts w:eastAsia="Times New Roman"/>
          <w:lang w:val="uk-UA" w:eastAsia="ru-RU"/>
        </w:rPr>
      </w:pPr>
      <w:r w:rsidRPr="00A02D64">
        <w:rPr>
          <w:rFonts w:eastAsia="Times New Roman"/>
          <w:lang w:val="uk-UA" w:eastAsia="ru-RU"/>
        </w:rPr>
        <w:t>від 31.03.2017 р. № 124</w:t>
      </w:r>
    </w:p>
    <w:p w:rsidR="00A02D64" w:rsidRPr="00A02D64" w:rsidRDefault="00A02D64" w:rsidP="00A02D64">
      <w:pPr>
        <w:spacing w:after="0" w:line="360" w:lineRule="auto"/>
        <w:rPr>
          <w:rFonts w:eastAsia="Calibri"/>
          <w:b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>Програма матеріальної підтримки діяльності правоохоронних органів в контексті взаємодії із органами місцевого самоврядування на 2017 рік</w:t>
      </w:r>
    </w:p>
    <w:p w:rsidR="00A02D64" w:rsidRPr="00A02D64" w:rsidRDefault="00A02D64" w:rsidP="00A02D64">
      <w:pPr>
        <w:spacing w:after="0" w:line="240" w:lineRule="auto"/>
        <w:rPr>
          <w:rFonts w:eastAsia="Calibri"/>
          <w:b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b/>
          <w:sz w:val="24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>Загальні положення</w:t>
      </w:r>
    </w:p>
    <w:p w:rsidR="00A02D64" w:rsidRPr="00A02D64" w:rsidRDefault="00A02D64" w:rsidP="00A02D64">
      <w:pPr>
        <w:spacing w:after="0" w:line="360" w:lineRule="auto"/>
        <w:jc w:val="center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     Дана Програма матеріальної підтримки діяльності правоохоронних органів в контексті взаємодії із органами місцевого самоврядування на 2017 рік (надалі-Програма), розроблена на забезпечення законності та правопорядку в сільській раді, здійснення заходів щодо реалізації державних та регіональних програм у цьому напрямку, забезпечення виконання актів законодавства з питань боротьби зі злочинністю і корупцією та згідно п.2 ч. 1 ст. 38 Закону України «Про місцеве самоврядування в Україні».</w:t>
      </w: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ind w:firstLine="708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>Забезпечення правопорядку та досягнення позитивної криміногенної ситуації у сільській раді вимагає від органів місцевого самоврядування об’єднання зусиль у напрямку боротьби зі злочинністю. Основним стратегічним завданням Програми є подальше вдосконалення взаємодії та підтримки збоку місцевого самоврядування правоохоронних органів у боротьбі із злочинністю, надання допомоги у матеріально-технічному оснащенні та забезпеченні їхньої діяльності, що підвищить ефективність профілактики, розслідування та розкриття злочинів, результативність пенітенціарної діяльності та контролю за особами звільненими з місць позбавлення волі.</w:t>
      </w:r>
    </w:p>
    <w:p w:rsidR="00A02D64" w:rsidRPr="00A02D64" w:rsidRDefault="00A02D64" w:rsidP="00A02D64">
      <w:pPr>
        <w:spacing w:after="0" w:line="360" w:lineRule="auto"/>
        <w:ind w:firstLine="708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    Високе технологічне і технічне забезпечення органів внутрішніх справ – це належний рівень безпеки та комфорту жителів сільської ради.</w:t>
      </w:r>
    </w:p>
    <w:p w:rsidR="00A02D64" w:rsidRPr="00A02D64" w:rsidRDefault="00A02D64" w:rsidP="00A02D64">
      <w:pPr>
        <w:spacing w:after="0" w:line="24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>Мета Програми</w:t>
      </w: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 xml:space="preserve">Основною метою Програми є: </w:t>
      </w: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numPr>
          <w:ilvl w:val="0"/>
          <w:numId w:val="1"/>
        </w:numPr>
        <w:suppressAutoHyphens/>
        <w:spacing w:after="0" w:line="36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>сприяння силами місцевого самоврядування правоохоронним органам у запобіганні та припиненні адміністративних правопорушень, профілактиці, розслідуванні та розкритті злочинів, захисті життя та здоров’я, інтересів суспільства і держави від протиправних посягань;</w:t>
      </w: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numPr>
          <w:ilvl w:val="0"/>
          <w:numId w:val="1"/>
        </w:numPr>
        <w:suppressAutoHyphens/>
        <w:spacing w:after="0" w:line="360" w:lineRule="auto"/>
        <w:jc w:val="left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>удосконалення засобів та технічного оснащення правоохоронних органів у виконанні покладених на них завдань згідно чинного законодавства.</w:t>
      </w:r>
    </w:p>
    <w:p w:rsidR="00A02D64" w:rsidRPr="00A02D64" w:rsidRDefault="00A02D64" w:rsidP="00A02D64">
      <w:pPr>
        <w:spacing w:after="0" w:line="24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>Фінансове забезпечення Програми</w:t>
      </w: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24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  <w:r w:rsidRPr="00A02D64">
        <w:rPr>
          <w:rFonts w:eastAsia="Calibri"/>
          <w:b/>
          <w:lang w:val="uk-UA" w:eastAsia="ru-RU"/>
        </w:rPr>
        <w:tab/>
      </w:r>
      <w:r w:rsidRPr="00A02D64">
        <w:rPr>
          <w:rFonts w:eastAsia="Calibri"/>
          <w:lang w:val="uk-UA" w:eastAsia="ru-RU"/>
        </w:rPr>
        <w:t xml:space="preserve">Здійснюється за рахунок коштів місцевого бюджету. </w:t>
      </w:r>
      <w:r w:rsidRPr="00A02D64">
        <w:rPr>
          <w:rFonts w:eastAsia="Calibri"/>
          <w:color w:val="000000"/>
          <w:lang w:val="uk-UA" w:eastAsia="uk-UA"/>
        </w:rPr>
        <w:t>Також передбачається залучення коштів за рахунок інших джерел фінансування, не заборонених чинним законодавством.</w:t>
      </w: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jc w:val="center"/>
        <w:rPr>
          <w:rFonts w:eastAsia="Calibri"/>
          <w:b/>
          <w:lang w:val="uk-UA" w:eastAsia="ru-RU"/>
        </w:rPr>
      </w:pPr>
      <w:r w:rsidRPr="00A02D64">
        <w:rPr>
          <w:rFonts w:eastAsia="Calibri"/>
          <w:b/>
          <w:lang w:val="uk-UA" w:eastAsia="ru-RU"/>
        </w:rPr>
        <w:t>Очікуваний результат</w:t>
      </w:r>
    </w:p>
    <w:p w:rsidR="00A02D64" w:rsidRPr="00A02D64" w:rsidRDefault="00A02D64" w:rsidP="00A02D64">
      <w:pPr>
        <w:spacing w:after="0" w:line="360" w:lineRule="auto"/>
        <w:rPr>
          <w:rFonts w:eastAsia="Calibri"/>
          <w:b/>
          <w:lang w:val="uk-UA" w:eastAsia="ru-RU"/>
        </w:rPr>
      </w:pP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  <w:r w:rsidRPr="00A02D64">
        <w:rPr>
          <w:rFonts w:eastAsia="Calibri"/>
          <w:lang w:val="uk-UA" w:eastAsia="ru-RU"/>
        </w:rPr>
        <w:t xml:space="preserve">Передбачені програмою заходи сприятимуть більш якісному виконанню  функцій правоохоронними органами, спрямованих на припинення адміністративних правопорушень та злочинів загально-кримінальної спрямованості. Це дозволить налагодити ефективну систему взаємодії та допомоги між правоохоронними органами та органами місцевого самоврядування, забезпечити особисту безпеку громадян, захистити їхні права, свободи та законні інтереси, а також створить необхідні умови для профілактики правопорушень, попередження та розкриття злочинів, </w:t>
      </w:r>
      <w:r w:rsidRPr="00A02D64">
        <w:rPr>
          <w:rFonts w:eastAsia="Calibri"/>
          <w:lang w:val="uk-UA" w:eastAsia="ru-RU"/>
        </w:rPr>
        <w:lastRenderedPageBreak/>
        <w:t>забезпечення законності та правопорядку на території Висоцької сільської ради.</w:t>
      </w:r>
    </w:p>
    <w:p w:rsidR="00A02D64" w:rsidRPr="00A02D64" w:rsidRDefault="00A02D64" w:rsidP="00A02D64">
      <w:pPr>
        <w:spacing w:after="0" w:line="360" w:lineRule="auto"/>
        <w:rPr>
          <w:rFonts w:eastAsia="Calibri"/>
          <w:lang w:val="uk-UA" w:eastAsia="ru-RU"/>
        </w:rPr>
      </w:pPr>
    </w:p>
    <w:p w:rsidR="00D70E58" w:rsidRPr="00A02D64" w:rsidRDefault="00A02D64" w:rsidP="00A02D64">
      <w:r w:rsidRPr="00A02D64">
        <w:rPr>
          <w:rFonts w:eastAsia="Calibri"/>
          <w:lang w:val="uk-UA" w:eastAsia="ru-RU"/>
        </w:rPr>
        <w:t xml:space="preserve">Секретар сільської ради                                         К. А. </w:t>
      </w:r>
      <w:proofErr w:type="spellStart"/>
      <w:r w:rsidRPr="00A02D64">
        <w:rPr>
          <w:rFonts w:eastAsia="Calibri"/>
          <w:lang w:val="uk-UA" w:eastAsia="ru-RU"/>
        </w:rPr>
        <w:t>Мацерук</w:t>
      </w:r>
      <w:bookmarkStart w:id="0" w:name="_GoBack"/>
      <w:bookmarkEnd w:id="0"/>
      <w:proofErr w:type="spellEnd"/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A02D64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A02D64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A02D64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5E4C5E"/>
    <w:rsid w:val="00A02D64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2018-11-16T12:27:00Z</dcterms:created>
  <dcterms:modified xsi:type="dcterms:W3CDTF">2018-11-16T12:27:00Z</dcterms:modified>
</cp:coreProperties>
</file>